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44E8" w:rsidRPr="00D633C1" w:rsidRDefault="00D633C1" w:rsidP="00D633C1">
      <w:pPr>
        <w:jc w:val="right"/>
        <w:rPr>
          <w:rFonts w:ascii="Franklin Gothic Demi" w:hAnsi="Franklin Gothic Demi"/>
          <w:color w:val="000000"/>
          <w:sz w:val="36"/>
          <w:szCs w:val="28"/>
        </w:rPr>
      </w:pPr>
      <w:r w:rsidRPr="00D633C1">
        <w:rPr>
          <w:rFonts w:ascii="Franklin Gothic Demi" w:hAnsi="Franklin Gothic Demi"/>
          <w:sz w:val="36"/>
          <w:szCs w:val="28"/>
        </w:rPr>
        <w:br/>
      </w:r>
      <w:r w:rsidRPr="00D633C1">
        <w:rPr>
          <w:rFonts w:ascii="Franklin Gothic Demi" w:hAnsi="Franklin Gothic Demi"/>
          <w:color w:val="000000"/>
          <w:sz w:val="36"/>
          <w:szCs w:val="28"/>
        </w:rPr>
        <w:t xml:space="preserve">Q&amp;A: </w:t>
      </w:r>
      <w:r>
        <w:rPr>
          <w:rFonts w:ascii="Franklin Gothic Demi" w:hAnsi="Franklin Gothic Demi"/>
          <w:color w:val="000000"/>
          <w:sz w:val="36"/>
          <w:szCs w:val="28"/>
        </w:rPr>
        <w:br/>
      </w:r>
      <w:r w:rsidR="00E844E8" w:rsidRPr="00D633C1">
        <w:rPr>
          <w:rFonts w:ascii="Franklin Gothic Demi" w:hAnsi="Franklin Gothic Demi"/>
          <w:color w:val="000000"/>
          <w:sz w:val="36"/>
          <w:szCs w:val="28"/>
        </w:rPr>
        <w:t>The Total Return Concept</w:t>
      </w:r>
    </w:p>
    <w:p w:rsidR="00E844E8" w:rsidRPr="005E4A37" w:rsidRDefault="00E844E8">
      <w:pPr>
        <w:rPr>
          <w:rFonts w:ascii="Garamond" w:hAnsi="Garamond"/>
        </w:rPr>
      </w:pPr>
    </w:p>
    <w:p w:rsidR="00E844E8" w:rsidRPr="005E4A37" w:rsidRDefault="00E844E8">
      <w:pPr>
        <w:rPr>
          <w:rFonts w:ascii="Garamond" w:hAnsi="Garamond"/>
        </w:rPr>
      </w:pPr>
    </w:p>
    <w:p w:rsidR="00E844E8" w:rsidRPr="005E4A37" w:rsidRDefault="00E844E8">
      <w:pPr>
        <w:rPr>
          <w:rFonts w:ascii="Garamond" w:hAnsi="Garamond"/>
          <w:b/>
        </w:rPr>
        <w:sectPr w:rsidR="00E844E8" w:rsidRPr="005E4A37" w:rsidSect="003C5873">
          <w:headerReference w:type="default" r:id="rId6"/>
          <w:footerReference w:type="default" r:id="rId7"/>
          <w:pgSz w:w="12240" w:h="15840" w:code="1"/>
          <w:pgMar w:top="1440" w:right="1440" w:bottom="1440" w:left="1440" w:header="720" w:footer="720" w:gutter="0"/>
          <w:cols w:space="720"/>
        </w:sectPr>
      </w:pPr>
    </w:p>
    <w:p w:rsidR="00E844E8" w:rsidRPr="00D633C1" w:rsidRDefault="00E844E8">
      <w:pPr>
        <w:pStyle w:val="BodyText"/>
        <w:rPr>
          <w:rFonts w:ascii="Franklin Gothic Demi" w:hAnsi="Franklin Gothic Demi"/>
          <w:b w:val="0"/>
          <w:color w:val="19B2A9"/>
          <w:sz w:val="20"/>
        </w:rPr>
      </w:pPr>
      <w:r w:rsidRPr="00D633C1">
        <w:rPr>
          <w:rFonts w:ascii="Franklin Gothic Demi" w:hAnsi="Franklin Gothic Demi"/>
          <w:b w:val="0"/>
          <w:color w:val="19B2A9"/>
          <w:sz w:val="20"/>
        </w:rPr>
        <w:t>Q: What is the Total Return Concept?</w:t>
      </w:r>
    </w:p>
    <w:p w:rsidR="00E844E8" w:rsidRPr="00D633C1" w:rsidRDefault="00E844E8">
      <w:pPr>
        <w:rPr>
          <w:rFonts w:ascii="Minion pro" w:hAnsi="Minion pro"/>
          <w:b/>
          <w:sz w:val="20"/>
        </w:rPr>
      </w:pPr>
    </w:p>
    <w:p w:rsidR="00E844E8" w:rsidRPr="00D633C1" w:rsidRDefault="00E844E8">
      <w:pPr>
        <w:rPr>
          <w:rFonts w:ascii="Minion pro" w:hAnsi="Minion pro"/>
          <w:sz w:val="20"/>
        </w:rPr>
      </w:pPr>
      <w:r w:rsidRPr="00D633C1">
        <w:rPr>
          <w:rFonts w:ascii="Franklin Gothic Demi" w:hAnsi="Franklin Gothic Demi"/>
          <w:color w:val="000000"/>
          <w:sz w:val="20"/>
        </w:rPr>
        <w:t>A:</w:t>
      </w:r>
      <w:r w:rsidRPr="00D633C1">
        <w:rPr>
          <w:rFonts w:ascii="Minion pro" w:hAnsi="Minion pro"/>
          <w:color w:val="000000"/>
          <w:sz w:val="20"/>
        </w:rPr>
        <w:t xml:space="preserve">  </w:t>
      </w:r>
      <w:r w:rsidRPr="00D633C1">
        <w:rPr>
          <w:rFonts w:ascii="Minion pro" w:hAnsi="Minion pro"/>
          <w:sz w:val="20"/>
        </w:rPr>
        <w:t>The Total Return Concept was adopted by most Foundations in the early 1980’s.  It allowed Foundations to set a grantmaking level that is independent of the income earned by the Foundation’s funds.  C</w:t>
      </w:r>
      <w:r w:rsidR="005E4A37" w:rsidRPr="00D633C1">
        <w:rPr>
          <w:rFonts w:ascii="Minion pro" w:hAnsi="Minion pro"/>
          <w:sz w:val="20"/>
        </w:rPr>
        <w:t xml:space="preserve">oastal </w:t>
      </w:r>
      <w:r w:rsidRPr="00D633C1">
        <w:rPr>
          <w:rFonts w:ascii="Minion pro" w:hAnsi="Minion pro"/>
          <w:sz w:val="20"/>
        </w:rPr>
        <w:t>C</w:t>
      </w:r>
      <w:r w:rsidR="005E4A37" w:rsidRPr="00D633C1">
        <w:rPr>
          <w:rFonts w:ascii="Minion pro" w:hAnsi="Minion pro"/>
          <w:sz w:val="20"/>
        </w:rPr>
        <w:t xml:space="preserve">ommunity </w:t>
      </w:r>
      <w:r w:rsidRPr="00D633C1">
        <w:rPr>
          <w:rFonts w:ascii="Minion pro" w:hAnsi="Minion pro"/>
          <w:sz w:val="20"/>
        </w:rPr>
        <w:t>F</w:t>
      </w:r>
      <w:r w:rsidR="005E4A37" w:rsidRPr="00D633C1">
        <w:rPr>
          <w:rFonts w:ascii="Minion pro" w:hAnsi="Minion pro"/>
          <w:sz w:val="20"/>
        </w:rPr>
        <w:t>oundation</w:t>
      </w:r>
      <w:r w:rsidRPr="00D633C1">
        <w:rPr>
          <w:rFonts w:ascii="Minion pro" w:hAnsi="Minion pro"/>
          <w:sz w:val="20"/>
        </w:rPr>
        <w:t xml:space="preserve"> determines the appropriate spending level for grantmaking, calculated </w:t>
      </w:r>
      <w:r w:rsidR="00F303E4" w:rsidRPr="00D633C1">
        <w:rPr>
          <w:rFonts w:ascii="Minion pro" w:hAnsi="Minion pro"/>
          <w:sz w:val="20"/>
        </w:rPr>
        <w:t xml:space="preserve">as a percentage of each fund’s </w:t>
      </w:r>
      <w:r w:rsidRPr="00D633C1">
        <w:rPr>
          <w:rFonts w:ascii="Minion pro" w:hAnsi="Minion pro"/>
          <w:sz w:val="20"/>
        </w:rPr>
        <w:t>“average balance”.  “Average balance” is calculated as the average of the fund balance for the previous twenty quarters.</w:t>
      </w:r>
    </w:p>
    <w:p w:rsidR="00E844E8" w:rsidRPr="00D633C1" w:rsidRDefault="00E844E8">
      <w:pPr>
        <w:rPr>
          <w:rFonts w:ascii="Minion pro" w:hAnsi="Minion pro"/>
          <w:sz w:val="20"/>
        </w:rPr>
      </w:pPr>
    </w:p>
    <w:p w:rsidR="00E844E8" w:rsidRPr="00D633C1" w:rsidRDefault="00E844E8">
      <w:pPr>
        <w:rPr>
          <w:rFonts w:ascii="Minion pro" w:hAnsi="Minion pro"/>
          <w:sz w:val="20"/>
        </w:rPr>
      </w:pPr>
      <w:r w:rsidRPr="00D633C1">
        <w:rPr>
          <w:rFonts w:ascii="Minion pro" w:hAnsi="Minion pro"/>
          <w:sz w:val="20"/>
        </w:rPr>
        <w:t xml:space="preserve">The Total Return Concept recognizes that there is more to successful investing than merely maximizing current income </w:t>
      </w:r>
      <w:r w:rsidRPr="00D633C1">
        <w:rPr>
          <w:rFonts w:ascii="Minion pro" w:hAnsi="Minion pro"/>
          <w:sz w:val="20"/>
        </w:rPr>
        <w:sym w:font="Symbol" w:char="F02D"/>
      </w:r>
      <w:r w:rsidRPr="00D633C1">
        <w:rPr>
          <w:rFonts w:ascii="Minion pro" w:hAnsi="Minion pro"/>
          <w:sz w:val="20"/>
        </w:rPr>
        <w:t xml:space="preserve"> that capital appreciation over time can be significant.</w:t>
      </w:r>
    </w:p>
    <w:p w:rsidR="00E844E8" w:rsidRPr="00D633C1" w:rsidRDefault="00E844E8">
      <w:pPr>
        <w:rPr>
          <w:rFonts w:ascii="Minion pro" w:hAnsi="Minion pro"/>
          <w:sz w:val="20"/>
        </w:rPr>
      </w:pPr>
    </w:p>
    <w:p w:rsidR="00E844E8" w:rsidRPr="00D633C1" w:rsidRDefault="00E844E8">
      <w:pPr>
        <w:rPr>
          <w:rFonts w:ascii="Minion pro" w:hAnsi="Minion pro"/>
          <w:sz w:val="20"/>
        </w:rPr>
      </w:pPr>
      <w:r w:rsidRPr="00D633C1">
        <w:rPr>
          <w:rFonts w:ascii="Minion pro" w:hAnsi="Minion pro"/>
          <w:sz w:val="20"/>
        </w:rPr>
        <w:t xml:space="preserve">The Total Return Concept also allows </w:t>
      </w:r>
      <w:r w:rsidR="005E4A37" w:rsidRPr="00D633C1">
        <w:rPr>
          <w:rFonts w:ascii="Minion pro" w:hAnsi="Minion pro"/>
          <w:sz w:val="20"/>
        </w:rPr>
        <w:t xml:space="preserve">the </w:t>
      </w:r>
      <w:r w:rsidRPr="00D633C1">
        <w:rPr>
          <w:rFonts w:ascii="Minion pro" w:hAnsi="Minion pro"/>
          <w:sz w:val="20"/>
        </w:rPr>
        <w:t>F</w:t>
      </w:r>
      <w:r w:rsidR="005E4A37" w:rsidRPr="00D633C1">
        <w:rPr>
          <w:rFonts w:ascii="Minion pro" w:hAnsi="Minion pro"/>
          <w:sz w:val="20"/>
        </w:rPr>
        <w:t>oundation</w:t>
      </w:r>
      <w:r w:rsidRPr="00D633C1">
        <w:rPr>
          <w:rFonts w:ascii="Minion pro" w:hAnsi="Minion pro"/>
          <w:sz w:val="20"/>
        </w:rPr>
        <w:t xml:space="preserve"> to deal with the effects of inflation, both as to spending and investing.  C</w:t>
      </w:r>
      <w:r w:rsidR="005E4A37" w:rsidRPr="00D633C1">
        <w:rPr>
          <w:rFonts w:ascii="Minion pro" w:hAnsi="Minion pro"/>
          <w:sz w:val="20"/>
        </w:rPr>
        <w:t xml:space="preserve">oastal </w:t>
      </w:r>
      <w:r w:rsidRPr="00D633C1">
        <w:rPr>
          <w:rFonts w:ascii="Minion pro" w:hAnsi="Minion pro"/>
          <w:sz w:val="20"/>
        </w:rPr>
        <w:t>C</w:t>
      </w:r>
      <w:r w:rsidR="005E4A37" w:rsidRPr="00D633C1">
        <w:rPr>
          <w:rFonts w:ascii="Minion pro" w:hAnsi="Minion pro"/>
          <w:sz w:val="20"/>
        </w:rPr>
        <w:t xml:space="preserve">ommunity </w:t>
      </w:r>
      <w:r w:rsidRPr="00D633C1">
        <w:rPr>
          <w:rFonts w:ascii="Minion pro" w:hAnsi="Minion pro"/>
          <w:sz w:val="20"/>
        </w:rPr>
        <w:t>F</w:t>
      </w:r>
      <w:r w:rsidR="005E4A37" w:rsidRPr="00D633C1">
        <w:rPr>
          <w:rFonts w:ascii="Minion pro" w:hAnsi="Minion pro"/>
          <w:sz w:val="20"/>
        </w:rPr>
        <w:t>oundation</w:t>
      </w:r>
      <w:r w:rsidRPr="00D633C1">
        <w:rPr>
          <w:rFonts w:ascii="Minion pro" w:hAnsi="Minion pro"/>
          <w:sz w:val="20"/>
        </w:rPr>
        <w:t xml:space="preserve"> is ever mindful that the true test of its investments and spending programs is measured by how well it protects its assets against inflation over time.</w:t>
      </w:r>
    </w:p>
    <w:p w:rsidR="00E844E8" w:rsidRPr="00D633C1" w:rsidRDefault="00E844E8">
      <w:pPr>
        <w:rPr>
          <w:rFonts w:ascii="Minion pro" w:hAnsi="Minion pro"/>
          <w:sz w:val="20"/>
        </w:rPr>
      </w:pPr>
    </w:p>
    <w:p w:rsidR="00E844E8" w:rsidRPr="00D633C1" w:rsidRDefault="00E844E8">
      <w:pPr>
        <w:pStyle w:val="BodyText"/>
        <w:rPr>
          <w:rFonts w:ascii="Franklin Gothic Demi" w:hAnsi="Franklin Gothic Demi"/>
          <w:b w:val="0"/>
          <w:color w:val="19B2A9"/>
          <w:sz w:val="20"/>
        </w:rPr>
      </w:pPr>
      <w:r w:rsidRPr="00D633C1">
        <w:rPr>
          <w:rFonts w:ascii="Franklin Gothic Demi" w:hAnsi="Franklin Gothic Demi"/>
          <w:b w:val="0"/>
          <w:color w:val="19B2A9"/>
          <w:sz w:val="20"/>
        </w:rPr>
        <w:t>Q:  Why Consider the Total Return Concept?</w:t>
      </w:r>
    </w:p>
    <w:p w:rsidR="00E844E8" w:rsidRPr="00D633C1" w:rsidRDefault="00E844E8">
      <w:pPr>
        <w:rPr>
          <w:rFonts w:ascii="Minion pro" w:hAnsi="Minion pro"/>
          <w:sz w:val="20"/>
        </w:rPr>
      </w:pPr>
    </w:p>
    <w:p w:rsidR="00E844E8" w:rsidRPr="00D633C1" w:rsidRDefault="00E844E8">
      <w:pPr>
        <w:rPr>
          <w:rFonts w:ascii="Minion pro" w:hAnsi="Minion pro"/>
          <w:sz w:val="20"/>
        </w:rPr>
      </w:pPr>
      <w:r w:rsidRPr="00D633C1">
        <w:rPr>
          <w:rFonts w:ascii="Franklin Gothic Demi" w:hAnsi="Franklin Gothic Demi"/>
          <w:sz w:val="20"/>
        </w:rPr>
        <w:t>A:</w:t>
      </w:r>
      <w:r w:rsidRPr="00D633C1">
        <w:rPr>
          <w:rFonts w:ascii="Minion pro" w:hAnsi="Minion pro"/>
          <w:sz w:val="20"/>
        </w:rPr>
        <w:t xml:space="preserve">  Prior to Total Return, </w:t>
      </w:r>
      <w:r w:rsidR="005E4A37" w:rsidRPr="00D633C1">
        <w:rPr>
          <w:rFonts w:ascii="Minion pro" w:hAnsi="Minion pro"/>
          <w:sz w:val="20"/>
        </w:rPr>
        <w:t>f</w:t>
      </w:r>
      <w:r w:rsidRPr="00D633C1">
        <w:rPr>
          <w:rFonts w:ascii="Minion pro" w:hAnsi="Minion pro"/>
          <w:sz w:val="20"/>
        </w:rPr>
        <w:t xml:space="preserve">oundations were forced to invest solely in bonds, that pay interest, or dividend paying stocks.  Total Return allows </w:t>
      </w:r>
      <w:r w:rsidR="005E4A37" w:rsidRPr="00D633C1">
        <w:rPr>
          <w:rFonts w:ascii="Minion pro" w:hAnsi="Minion pro"/>
          <w:sz w:val="20"/>
        </w:rPr>
        <w:t>f</w:t>
      </w:r>
      <w:r w:rsidRPr="00D633C1">
        <w:rPr>
          <w:rFonts w:ascii="Minion pro" w:hAnsi="Minion pro"/>
          <w:sz w:val="20"/>
        </w:rPr>
        <w:t xml:space="preserve">oundations to include in its portfolio, assets that may not pay interest or dividends but rewards investors by price appreciation </w:t>
      </w:r>
      <w:proofErr w:type="spellStart"/>
      <w:r w:rsidRPr="00D633C1">
        <w:rPr>
          <w:rFonts w:ascii="Minion pro" w:hAnsi="Minion pro"/>
          <w:sz w:val="20"/>
        </w:rPr>
        <w:t>eg.</w:t>
      </w:r>
      <w:proofErr w:type="spellEnd"/>
      <w:r w:rsidRPr="00D633C1">
        <w:rPr>
          <w:rFonts w:ascii="Minion pro" w:hAnsi="Minion pro"/>
          <w:sz w:val="20"/>
        </w:rPr>
        <w:t xml:space="preserve"> growth stocks.</w:t>
      </w:r>
    </w:p>
    <w:p w:rsidR="00EA1A5E" w:rsidRPr="00D633C1" w:rsidRDefault="00EA1A5E">
      <w:pPr>
        <w:pStyle w:val="BodyText"/>
        <w:rPr>
          <w:rFonts w:ascii="Minion pro" w:hAnsi="Minion pro"/>
          <w:sz w:val="20"/>
        </w:rPr>
      </w:pPr>
    </w:p>
    <w:p w:rsidR="00E844E8" w:rsidRPr="00D633C1" w:rsidRDefault="00E844E8">
      <w:pPr>
        <w:pStyle w:val="BodyText"/>
        <w:rPr>
          <w:rFonts w:ascii="Franklin Gothic Demi" w:hAnsi="Franklin Gothic Demi"/>
          <w:b w:val="0"/>
          <w:color w:val="19B2A9"/>
          <w:sz w:val="20"/>
        </w:rPr>
      </w:pPr>
      <w:r w:rsidRPr="00D633C1">
        <w:rPr>
          <w:rFonts w:ascii="Franklin Gothic Demi" w:hAnsi="Franklin Gothic Demi"/>
          <w:b w:val="0"/>
          <w:color w:val="19B2A9"/>
          <w:sz w:val="20"/>
        </w:rPr>
        <w:t>Q:  What are the Primary Benefits of the Total Return Concept?</w:t>
      </w:r>
    </w:p>
    <w:p w:rsidR="00E844E8" w:rsidRPr="00D633C1" w:rsidRDefault="00E844E8">
      <w:pPr>
        <w:rPr>
          <w:rFonts w:ascii="Minion pro" w:hAnsi="Minion pro"/>
          <w:sz w:val="20"/>
        </w:rPr>
      </w:pPr>
    </w:p>
    <w:p w:rsidR="00E844E8" w:rsidRPr="00D633C1" w:rsidRDefault="00E844E8">
      <w:pPr>
        <w:ind w:right="-43"/>
        <w:rPr>
          <w:rFonts w:ascii="Minion pro" w:hAnsi="Minion pro"/>
          <w:sz w:val="20"/>
        </w:rPr>
      </w:pPr>
      <w:r w:rsidRPr="00D633C1">
        <w:rPr>
          <w:rFonts w:ascii="Franklin Gothic Demi" w:hAnsi="Franklin Gothic Demi"/>
          <w:sz w:val="20"/>
        </w:rPr>
        <w:t>A:</w:t>
      </w:r>
      <w:r w:rsidRPr="00D633C1">
        <w:rPr>
          <w:rFonts w:ascii="Minion pro" w:hAnsi="Minion pro"/>
          <w:sz w:val="20"/>
        </w:rPr>
        <w:t xml:space="preserve">  Donors can be assured that their funds are being managed in an effective manner that balances current demands and future needs.  </w:t>
      </w:r>
    </w:p>
    <w:p w:rsidR="00E844E8" w:rsidRPr="00D633C1" w:rsidRDefault="00E844E8">
      <w:pPr>
        <w:rPr>
          <w:rFonts w:ascii="Minion pro" w:hAnsi="Minion pro"/>
          <w:sz w:val="20"/>
        </w:rPr>
      </w:pPr>
    </w:p>
    <w:p w:rsidR="00E844E8" w:rsidRPr="00D633C1" w:rsidRDefault="00E844E8">
      <w:pPr>
        <w:rPr>
          <w:rFonts w:ascii="Minion pro" w:hAnsi="Minion pro"/>
          <w:sz w:val="20"/>
        </w:rPr>
      </w:pPr>
      <w:r w:rsidRPr="00D633C1">
        <w:rPr>
          <w:rFonts w:ascii="Minion pro" w:hAnsi="Minion pro"/>
          <w:sz w:val="20"/>
        </w:rPr>
        <w:t>C</w:t>
      </w:r>
      <w:r w:rsidR="005E4A37" w:rsidRPr="00D633C1">
        <w:rPr>
          <w:rFonts w:ascii="Minion pro" w:hAnsi="Minion pro"/>
          <w:sz w:val="20"/>
        </w:rPr>
        <w:t xml:space="preserve">oastal </w:t>
      </w:r>
      <w:r w:rsidRPr="00D633C1">
        <w:rPr>
          <w:rFonts w:ascii="Minion pro" w:hAnsi="Minion pro"/>
          <w:sz w:val="20"/>
        </w:rPr>
        <w:t>C</w:t>
      </w:r>
      <w:r w:rsidR="005E4A37" w:rsidRPr="00D633C1">
        <w:rPr>
          <w:rFonts w:ascii="Minion pro" w:hAnsi="Minion pro"/>
          <w:sz w:val="20"/>
        </w:rPr>
        <w:t xml:space="preserve">ommunity </w:t>
      </w:r>
      <w:r w:rsidRPr="00D633C1">
        <w:rPr>
          <w:rFonts w:ascii="Minion pro" w:hAnsi="Minion pro"/>
          <w:sz w:val="20"/>
        </w:rPr>
        <w:t>F</w:t>
      </w:r>
      <w:r w:rsidR="005E4A37" w:rsidRPr="00D633C1">
        <w:rPr>
          <w:rFonts w:ascii="Minion pro" w:hAnsi="Minion pro"/>
          <w:sz w:val="20"/>
        </w:rPr>
        <w:t>oundation</w:t>
      </w:r>
      <w:r w:rsidRPr="00D633C1">
        <w:rPr>
          <w:rFonts w:ascii="Minion pro" w:hAnsi="Minion pro"/>
          <w:sz w:val="20"/>
        </w:rPr>
        <w:t xml:space="preserve"> will design long-term investment strategies aimed at providing a proper balance between income and long-term growth and not subject to sudden shifts in interest rates or market </w:t>
      </w:r>
      <w:r w:rsidRPr="00D633C1">
        <w:rPr>
          <w:rFonts w:ascii="Minion pro" w:hAnsi="Minion pro"/>
          <w:sz w:val="20"/>
        </w:rPr>
        <w:t xml:space="preserve">value.  Its investment managers will not be forced to focus their investment solely on distributions from income alone </w:t>
      </w:r>
    </w:p>
    <w:p w:rsidR="00E844E8" w:rsidRPr="00D633C1" w:rsidRDefault="00E844E8">
      <w:pPr>
        <w:rPr>
          <w:rFonts w:ascii="Minion pro" w:hAnsi="Minion pro"/>
          <w:sz w:val="20"/>
        </w:rPr>
      </w:pPr>
    </w:p>
    <w:p w:rsidR="00E844E8" w:rsidRPr="00D633C1" w:rsidRDefault="00E844E8">
      <w:pPr>
        <w:rPr>
          <w:rFonts w:ascii="Minion pro" w:hAnsi="Minion pro"/>
          <w:sz w:val="20"/>
        </w:rPr>
      </w:pPr>
      <w:r w:rsidRPr="00D633C1">
        <w:rPr>
          <w:rFonts w:ascii="Minion pro" w:hAnsi="Minion pro"/>
          <w:sz w:val="20"/>
        </w:rPr>
        <w:t>The community-at-large and grant recipients will have a predictable flow of funds, since funds made available for distribution will not be determined solely by changes in current investment income.</w:t>
      </w:r>
    </w:p>
    <w:p w:rsidR="00E844E8" w:rsidRPr="00D633C1" w:rsidRDefault="00E844E8">
      <w:pPr>
        <w:rPr>
          <w:rFonts w:ascii="Minion pro" w:hAnsi="Minion pro"/>
          <w:sz w:val="20"/>
        </w:rPr>
      </w:pPr>
    </w:p>
    <w:p w:rsidR="00E844E8" w:rsidRPr="00D633C1" w:rsidRDefault="00E844E8">
      <w:pPr>
        <w:pStyle w:val="BodyText"/>
        <w:rPr>
          <w:rFonts w:ascii="Franklin Gothic Demi" w:hAnsi="Franklin Gothic Demi"/>
          <w:b w:val="0"/>
          <w:color w:val="19B2A9"/>
          <w:sz w:val="20"/>
        </w:rPr>
      </w:pPr>
      <w:r w:rsidRPr="00D633C1">
        <w:rPr>
          <w:rFonts w:ascii="Franklin Gothic Demi" w:hAnsi="Franklin Gothic Demi"/>
          <w:b w:val="0"/>
          <w:color w:val="19B2A9"/>
          <w:sz w:val="20"/>
        </w:rPr>
        <w:t>Q:  How is the Spending Level Determined?</w:t>
      </w:r>
    </w:p>
    <w:p w:rsidR="00E844E8" w:rsidRPr="00D633C1" w:rsidRDefault="00E844E8">
      <w:pPr>
        <w:rPr>
          <w:rFonts w:ascii="Franklin Gothic Demi" w:hAnsi="Franklin Gothic Demi"/>
          <w:sz w:val="20"/>
        </w:rPr>
      </w:pPr>
    </w:p>
    <w:p w:rsidR="00E844E8" w:rsidRPr="00D633C1" w:rsidRDefault="00E844E8">
      <w:pPr>
        <w:rPr>
          <w:rFonts w:ascii="Minion pro" w:hAnsi="Minion pro"/>
          <w:sz w:val="20"/>
        </w:rPr>
      </w:pPr>
      <w:r w:rsidRPr="00D633C1">
        <w:rPr>
          <w:rFonts w:ascii="Franklin Gothic Demi" w:hAnsi="Franklin Gothic Demi"/>
          <w:sz w:val="20"/>
        </w:rPr>
        <w:t>A:</w:t>
      </w:r>
      <w:r w:rsidRPr="00D633C1">
        <w:rPr>
          <w:rFonts w:ascii="Minion pro" w:hAnsi="Minion pro"/>
          <w:sz w:val="20"/>
        </w:rPr>
        <w:t xml:space="preserve">  As necessary, the Board of Directors will review the spending level based on recommendations from the Investment Committee (with input and advice from our investment managers and consultants).  This level will be set to balance current needs with growth for the future.  Most foundations set that level at 4%-5% of the average value of the fund.  For the past several years, a </w:t>
      </w:r>
      <w:r w:rsidR="00167397" w:rsidRPr="00D633C1">
        <w:rPr>
          <w:rFonts w:ascii="Minion pro" w:hAnsi="Minion pro"/>
          <w:sz w:val="20"/>
        </w:rPr>
        <w:t>4</w:t>
      </w:r>
      <w:r w:rsidRPr="00D633C1">
        <w:rPr>
          <w:rFonts w:ascii="Minion pro" w:hAnsi="Minion pro"/>
          <w:sz w:val="20"/>
        </w:rPr>
        <w:t>.0% spending level has been used by C</w:t>
      </w:r>
      <w:r w:rsidR="005E4A37" w:rsidRPr="00D633C1">
        <w:rPr>
          <w:rFonts w:ascii="Minion pro" w:hAnsi="Minion pro"/>
          <w:sz w:val="20"/>
        </w:rPr>
        <w:t xml:space="preserve">oastal </w:t>
      </w:r>
      <w:r w:rsidRPr="00D633C1">
        <w:rPr>
          <w:rFonts w:ascii="Minion pro" w:hAnsi="Minion pro"/>
          <w:sz w:val="20"/>
        </w:rPr>
        <w:t>C</w:t>
      </w:r>
      <w:r w:rsidR="005E4A37" w:rsidRPr="00D633C1">
        <w:rPr>
          <w:rFonts w:ascii="Minion pro" w:hAnsi="Minion pro"/>
          <w:sz w:val="20"/>
        </w:rPr>
        <w:t xml:space="preserve">ommunity </w:t>
      </w:r>
      <w:r w:rsidRPr="00D633C1">
        <w:rPr>
          <w:rFonts w:ascii="Minion pro" w:hAnsi="Minion pro"/>
          <w:sz w:val="20"/>
        </w:rPr>
        <w:t>F</w:t>
      </w:r>
      <w:r w:rsidR="005E4A37" w:rsidRPr="00D633C1">
        <w:rPr>
          <w:rFonts w:ascii="Minion pro" w:hAnsi="Minion pro"/>
          <w:sz w:val="20"/>
        </w:rPr>
        <w:t>oundation</w:t>
      </w:r>
      <w:r w:rsidRPr="00D633C1">
        <w:rPr>
          <w:rFonts w:ascii="Minion pro" w:hAnsi="Minion pro"/>
          <w:sz w:val="20"/>
        </w:rPr>
        <w:t xml:space="preserve">. </w:t>
      </w:r>
    </w:p>
    <w:p w:rsidR="00E844E8" w:rsidRPr="00D633C1" w:rsidRDefault="00E844E8">
      <w:pPr>
        <w:rPr>
          <w:rFonts w:ascii="Minion pro" w:hAnsi="Minion pro"/>
          <w:sz w:val="20"/>
        </w:rPr>
      </w:pPr>
    </w:p>
    <w:p w:rsidR="00E844E8" w:rsidRPr="00D633C1" w:rsidRDefault="00E844E8">
      <w:pPr>
        <w:pStyle w:val="BodyText"/>
        <w:rPr>
          <w:rFonts w:ascii="Franklin Gothic Demi" w:hAnsi="Franklin Gothic Demi"/>
          <w:b w:val="0"/>
          <w:color w:val="19B2A9"/>
          <w:sz w:val="20"/>
        </w:rPr>
      </w:pPr>
      <w:r w:rsidRPr="00D633C1">
        <w:rPr>
          <w:rFonts w:ascii="Franklin Gothic Demi" w:hAnsi="Franklin Gothic Demi"/>
          <w:b w:val="0"/>
          <w:color w:val="19B2A9"/>
          <w:sz w:val="20"/>
        </w:rPr>
        <w:t>Q:  Are There Any Negative Considerations?</w:t>
      </w:r>
    </w:p>
    <w:p w:rsidR="00E844E8" w:rsidRPr="00D633C1" w:rsidRDefault="00E844E8">
      <w:pPr>
        <w:rPr>
          <w:rFonts w:ascii="Minion pro" w:hAnsi="Minion pro"/>
          <w:sz w:val="20"/>
        </w:rPr>
      </w:pPr>
    </w:p>
    <w:p w:rsidR="00E844E8" w:rsidRPr="00D633C1" w:rsidRDefault="00E844E8">
      <w:pPr>
        <w:rPr>
          <w:rFonts w:ascii="Minion pro" w:hAnsi="Minion pro"/>
          <w:sz w:val="20"/>
        </w:rPr>
      </w:pPr>
      <w:r w:rsidRPr="00D633C1">
        <w:rPr>
          <w:rFonts w:ascii="Franklin Gothic Demi" w:hAnsi="Franklin Gothic Demi"/>
          <w:sz w:val="20"/>
        </w:rPr>
        <w:t>A:</w:t>
      </w:r>
      <w:r w:rsidRPr="00D633C1">
        <w:rPr>
          <w:rFonts w:ascii="Minion pro" w:hAnsi="Minion pro"/>
          <w:sz w:val="20"/>
        </w:rPr>
        <w:t xml:space="preserve">  It depends on your point of view.  Since the spending level is smoothed out, the grant recipients won’t receive windfalls that could occur in periods of high investme</w:t>
      </w:r>
      <w:bookmarkStart w:id="0" w:name="_GoBack"/>
      <w:bookmarkEnd w:id="0"/>
      <w:r w:rsidRPr="00D633C1">
        <w:rPr>
          <w:rFonts w:ascii="Minion pro" w:hAnsi="Minion pro"/>
          <w:sz w:val="20"/>
        </w:rPr>
        <w:t xml:space="preserve">nt returns. (Any excess returns </w:t>
      </w:r>
      <w:proofErr w:type="gramStart"/>
      <w:r w:rsidRPr="00D633C1">
        <w:rPr>
          <w:rFonts w:ascii="Minion pro" w:hAnsi="Minion pro"/>
          <w:sz w:val="20"/>
        </w:rPr>
        <w:t>is</w:t>
      </w:r>
      <w:proofErr w:type="gramEnd"/>
      <w:r w:rsidRPr="00D633C1">
        <w:rPr>
          <w:rFonts w:ascii="Minion pro" w:hAnsi="Minion pro"/>
          <w:sz w:val="20"/>
        </w:rPr>
        <w:t xml:space="preserve"> reinvested in the fund.)  On the other hand, recipients won’t have cutbacks in periods of low investment income unless such periods were to be protracted.  While there is a risk of spending at a certain level and earning a lower total return, proper monitoring by our investment managers and prudent determination of annual spending rates should eliminate this possibility.</w:t>
      </w:r>
    </w:p>
    <w:p w:rsidR="00E844E8" w:rsidRPr="00D633C1" w:rsidRDefault="00E844E8">
      <w:pPr>
        <w:rPr>
          <w:rFonts w:ascii="Minion pro" w:hAnsi="Minion pro"/>
          <w:sz w:val="20"/>
        </w:rPr>
      </w:pPr>
    </w:p>
    <w:p w:rsidR="00E844E8" w:rsidRPr="00D633C1" w:rsidRDefault="00E844E8">
      <w:pPr>
        <w:rPr>
          <w:rFonts w:ascii="Minion pro" w:hAnsi="Minion pro"/>
          <w:sz w:val="20"/>
        </w:rPr>
      </w:pPr>
    </w:p>
    <w:sectPr w:rsidR="00E844E8" w:rsidRPr="00D633C1" w:rsidSect="003C5873">
      <w:type w:val="continuous"/>
      <w:pgSz w:w="12240" w:h="15840" w:code="1"/>
      <w:pgMar w:top="1440" w:right="1440" w:bottom="1296" w:left="1440" w:header="720" w:footer="720" w:gutter="0"/>
      <w:cols w:num="2" w:space="720" w:equalWidth="0">
        <w:col w:w="4680" w:space="583"/>
        <w:col w:w="409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0C8C" w:rsidRDefault="00800C8C">
      <w:r>
        <w:separator/>
      </w:r>
    </w:p>
  </w:endnote>
  <w:endnote w:type="continuationSeparator" w:id="0">
    <w:p w:rsidR="00800C8C" w:rsidRDefault="00800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oudy">
    <w:altName w:val="Goudy Old Style"/>
    <w:charset w:val="00"/>
    <w:family w:val="roman"/>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inion pro">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4E8" w:rsidRPr="00092A92" w:rsidRDefault="00092A92" w:rsidP="00092A92">
    <w:pPr>
      <w:pStyle w:val="Footer"/>
      <w:jc w:val="right"/>
    </w:pPr>
    <w:r>
      <w:rPr>
        <w:rStyle w:val="PageNumber"/>
      </w:rPr>
      <w:fldChar w:fldCharType="begin"/>
    </w:r>
    <w:r>
      <w:rPr>
        <w:rStyle w:val="PageNumber"/>
      </w:rPr>
      <w:instrText xml:space="preserve"> PAGE </w:instrText>
    </w:r>
    <w:r>
      <w:rPr>
        <w:rStyle w:val="PageNumber"/>
      </w:rPr>
      <w:fldChar w:fldCharType="separate"/>
    </w:r>
    <w:r w:rsidR="003007EF">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0C8C" w:rsidRDefault="00800C8C">
      <w:r>
        <w:separator/>
      </w:r>
    </w:p>
  </w:footnote>
  <w:footnote w:type="continuationSeparator" w:id="0">
    <w:p w:rsidR="00800C8C" w:rsidRDefault="00800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3C1" w:rsidRDefault="00D633C1">
    <w:pPr>
      <w:pStyle w:val="Header"/>
    </w:pPr>
    <w:r>
      <w:rPr>
        <w:noProof/>
      </w:rPr>
      <w:drawing>
        <wp:inline distT="0" distB="0" distL="0" distR="0">
          <wp:extent cx="2185416" cy="8229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F_MainLogo_CMYK.jpg"/>
                  <pic:cNvPicPr/>
                </pic:nvPicPr>
                <pic:blipFill>
                  <a:blip r:embed="rId1">
                    <a:extLst>
                      <a:ext uri="{28A0092B-C50C-407E-A947-70E740481C1C}">
                        <a14:useLocalDpi xmlns:a14="http://schemas.microsoft.com/office/drawing/2010/main" val="0"/>
                      </a:ext>
                    </a:extLst>
                  </a:blip>
                  <a:stretch>
                    <a:fillRect/>
                  </a:stretch>
                </pic:blipFill>
                <pic:spPr>
                  <a:xfrm>
                    <a:off x="0" y="0"/>
                    <a:ext cx="2185416" cy="8229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C87"/>
    <w:rsid w:val="00010C15"/>
    <w:rsid w:val="00092A92"/>
    <w:rsid w:val="000B34A4"/>
    <w:rsid w:val="0013319D"/>
    <w:rsid w:val="00167397"/>
    <w:rsid w:val="002727A7"/>
    <w:rsid w:val="003007EF"/>
    <w:rsid w:val="003C5873"/>
    <w:rsid w:val="003D0C7B"/>
    <w:rsid w:val="00430F49"/>
    <w:rsid w:val="00547939"/>
    <w:rsid w:val="005E4A37"/>
    <w:rsid w:val="006B1592"/>
    <w:rsid w:val="006C37C9"/>
    <w:rsid w:val="00740A5D"/>
    <w:rsid w:val="007B4151"/>
    <w:rsid w:val="00800C8C"/>
    <w:rsid w:val="009B57A6"/>
    <w:rsid w:val="00A657FE"/>
    <w:rsid w:val="00A71A19"/>
    <w:rsid w:val="00A84584"/>
    <w:rsid w:val="00B2470F"/>
    <w:rsid w:val="00B82005"/>
    <w:rsid w:val="00C576F0"/>
    <w:rsid w:val="00D633C1"/>
    <w:rsid w:val="00E778A5"/>
    <w:rsid w:val="00E844E8"/>
    <w:rsid w:val="00EA1A5E"/>
    <w:rsid w:val="00EB5C87"/>
    <w:rsid w:val="00F303E4"/>
    <w:rsid w:val="00F35928"/>
    <w:rsid w:val="00F96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483E90A"/>
  <w15:chartTrackingRefBased/>
  <w15:docId w15:val="{B68A3746-88DF-4285-98FE-5CB7D0BAF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rFonts w:ascii="Goudy" w:hAnsi="Goudy"/>
      <w:sz w:val="5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
    <w:name w:val="Body Text"/>
    <w:basedOn w:val="Normal"/>
    <w:rPr>
      <w:rFonts w:ascii="Goudy" w:hAnsi="Goudy"/>
      <w:b/>
      <w:sz w:val="28"/>
    </w:rPr>
  </w:style>
  <w:style w:type="character" w:styleId="PageNumber">
    <w:name w:val="page number"/>
    <w:basedOn w:val="DefaultParagraphFont"/>
    <w:rsid w:val="00092A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498</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The Community Foundation</vt:lpstr>
    </vt:vector>
  </TitlesOfParts>
  <Company>The Community Foundation</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Community Foundation</dc:title>
  <dc:subject/>
  <dc:creator>Abigail Darlington</dc:creator>
  <cp:keywords/>
  <cp:lastModifiedBy>Abigail Darlington</cp:lastModifiedBy>
  <cp:revision>2</cp:revision>
  <cp:lastPrinted>2014-02-06T15:26:00Z</cp:lastPrinted>
  <dcterms:created xsi:type="dcterms:W3CDTF">2019-07-16T23:39:00Z</dcterms:created>
  <dcterms:modified xsi:type="dcterms:W3CDTF">2019-07-16T23:39:00Z</dcterms:modified>
</cp:coreProperties>
</file>